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36"/>
          <w:szCs w:val="36"/>
        </w:rPr>
      </w:pPr>
      <w:bookmarkStart w:colFirst="0" w:colLast="0" w:name="_uhnpanve2tr1" w:id="0"/>
      <w:bookmarkEnd w:id="0"/>
      <w:r w:rsidDel="00000000" w:rsidR="00000000" w:rsidRPr="00000000">
        <w:rPr>
          <w:sz w:val="44"/>
          <w:szCs w:val="44"/>
          <w:rtl w:val="0"/>
        </w:rPr>
        <w:t xml:space="preserve">Furthest from labour market</w:t>
      </w:r>
      <w:r w:rsidDel="00000000" w:rsidR="00000000" w:rsidRPr="00000000">
        <w:rPr>
          <w:sz w:val="36"/>
          <w:szCs w:val="36"/>
          <w:rtl w:val="0"/>
        </w:rPr>
        <w:t xml:space="preserve"> </w:t>
        <w:br w:type="textWrapping"/>
        <w:t xml:space="preserve">- Some Innovative approaches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right="2880"/>
        <w:contextualSpacing w:val="0"/>
        <w:rPr>
          <w:i w:val="1"/>
        </w:rPr>
      </w:pPr>
      <w:r w:rsidDel="00000000" w:rsidR="00000000" w:rsidRPr="00000000">
        <w:rPr>
          <w:i w:val="1"/>
          <w:rtl w:val="0"/>
        </w:rPr>
        <w:t xml:space="preserve">What are 10 innovative approaches to supporting those furthest from the labour market?</w:t>
      </w:r>
    </w:p>
    <w:p w:rsidR="00000000" w:rsidDel="00000000" w:rsidP="00000000" w:rsidRDefault="00000000" w:rsidRPr="00000000" w14:paraId="00000003">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Also see: </w:t>
      </w:r>
      <w:hyperlink r:id="rId6">
        <w:r w:rsidDel="00000000" w:rsidR="00000000" w:rsidRPr="00000000">
          <w:rPr>
            <w:color w:val="1155cc"/>
            <w:u w:val="single"/>
            <w:rtl w:val="0"/>
          </w:rPr>
          <w:t xml:space="preserve">http://blogs.worldbank.org/jobs/accelerating-and-learning-innovations-youth-employment-projects</w:t>
        </w:r>
      </w:hyperlink>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tbl>
      <w:tblPr>
        <w:tblStyle w:val="Table1"/>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1620"/>
        <w:gridCol w:w="5370"/>
        <w:tblGridChange w:id="0">
          <w:tblGrid>
            <w:gridCol w:w="3645"/>
            <w:gridCol w:w="1620"/>
            <w:gridCol w:w="537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b w:val="1"/>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0" w:line="240" w:lineRule="auto"/>
              <w:contextualSpacing w:val="0"/>
              <w:rPr>
                <w:b w:val="1"/>
                <w:i w:val="1"/>
              </w:rPr>
            </w:pPr>
            <w:r w:rsidDel="00000000" w:rsidR="00000000" w:rsidRPr="00000000">
              <w:rPr>
                <w:b w:val="1"/>
                <w:i w:val="1"/>
                <w:rtl w:val="0"/>
              </w:rPr>
              <w:t xml:space="preserve">Country / Region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40" w:lineRule="auto"/>
              <w:contextualSpacing w:val="0"/>
              <w:rPr>
                <w:b w:val="1"/>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pPr>
            <w:r w:rsidDel="00000000" w:rsidR="00000000" w:rsidRPr="00000000">
              <w:rPr/>
              <w:drawing>
                <wp:inline distB="114300" distT="114300" distL="114300" distR="114300">
                  <wp:extent cx="783315" cy="744538"/>
                  <wp:effectExtent b="0" l="0" r="0" t="0"/>
                  <wp:docPr id="6"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783315" cy="74453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Mastercard foundation</w:t>
            </w:r>
          </w:p>
          <w:p w:rsidR="00000000" w:rsidDel="00000000" w:rsidP="00000000" w:rsidRDefault="00000000" w:rsidRPr="00000000" w14:paraId="0000000B">
            <w:pPr>
              <w:contextualSpacing w:val="0"/>
              <w:rPr/>
            </w:pPr>
            <w:hyperlink r:id="rId8">
              <w:r w:rsidDel="00000000" w:rsidR="00000000" w:rsidRPr="00000000">
                <w:rPr>
                  <w:color w:val="1155cc"/>
                  <w:u w:val="single"/>
                  <w:rtl w:val="0"/>
                </w:rPr>
                <w:t xml:space="preserve">http://www.mastercardfdn.org/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240" w:lineRule="auto"/>
              <w:contextualSpacing w:val="0"/>
              <w:rPr/>
            </w:pPr>
            <w:r w:rsidDel="00000000" w:rsidR="00000000" w:rsidRPr="00000000">
              <w:rPr>
                <w:rtl w:val="0"/>
              </w:rPr>
              <w:t xml:space="preserve">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0" w:line="240" w:lineRule="auto"/>
              <w:contextualSpacing w:val="0"/>
              <w:rPr>
                <w:sz w:val="20"/>
                <w:szCs w:val="20"/>
              </w:rPr>
            </w:pPr>
            <w:r w:rsidDel="00000000" w:rsidR="00000000" w:rsidRPr="00000000">
              <w:rPr>
                <w:sz w:val="20"/>
                <w:szCs w:val="20"/>
                <w:rtl w:val="0"/>
              </w:rPr>
              <w:t xml:space="preserve">The MasterCard Foundation works organizations to provide greater access to education, skills training and financial services for people living in poverty, primarily in Africa.</w:t>
            </w:r>
          </w:p>
          <w:p w:rsidR="00000000" w:rsidDel="00000000" w:rsidP="00000000" w:rsidRDefault="00000000" w:rsidRPr="00000000" w14:paraId="0000000E">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0F">
            <w:pPr>
              <w:widowControl w:val="0"/>
              <w:spacing w:before="0" w:line="240" w:lineRule="auto"/>
              <w:contextualSpacing w:val="0"/>
              <w:rPr>
                <w:sz w:val="20"/>
                <w:szCs w:val="20"/>
              </w:rPr>
            </w:pPr>
            <w:r w:rsidDel="00000000" w:rsidR="00000000" w:rsidRPr="00000000">
              <w:rPr>
                <w:sz w:val="20"/>
                <w:szCs w:val="20"/>
                <w:rtl w:val="0"/>
              </w:rPr>
              <w:t xml:space="preserve">Currently working in 29 countries across Africa.</w:t>
            </w:r>
          </w:p>
          <w:p w:rsidR="00000000" w:rsidDel="00000000" w:rsidP="00000000" w:rsidRDefault="00000000" w:rsidRPr="00000000" w14:paraId="00000010">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11">
            <w:pPr>
              <w:widowControl w:val="0"/>
              <w:spacing w:before="0" w:line="240" w:lineRule="auto"/>
              <w:contextualSpacing w:val="0"/>
              <w:rPr>
                <w:sz w:val="20"/>
                <w:szCs w:val="20"/>
              </w:rPr>
            </w:pPr>
            <w:r w:rsidDel="00000000" w:rsidR="00000000" w:rsidRPr="00000000">
              <w:rPr>
                <w:sz w:val="20"/>
                <w:szCs w:val="20"/>
                <w:rtl w:val="0"/>
              </w:rPr>
              <w:t xml:space="preserve">Case study : Young Africa Works </w:t>
            </w:r>
          </w:p>
          <w:p w:rsidR="00000000" w:rsidDel="00000000" w:rsidP="00000000" w:rsidRDefault="00000000" w:rsidRPr="00000000" w14:paraId="00000012">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13">
            <w:pPr>
              <w:widowControl w:val="0"/>
              <w:spacing w:before="0" w:line="240" w:lineRule="auto"/>
              <w:contextualSpacing w:val="0"/>
              <w:rPr>
                <w:sz w:val="20"/>
                <w:szCs w:val="20"/>
              </w:rPr>
            </w:pPr>
            <w:r w:rsidDel="00000000" w:rsidR="00000000" w:rsidRPr="00000000">
              <w:rPr>
                <w:sz w:val="20"/>
                <w:szCs w:val="20"/>
                <w:rtl w:val="0"/>
              </w:rPr>
              <w:t xml:space="preserve">By 2030, enable 30 million young people in Africa to secure employment they see as dignified and fulfilling.</w:t>
            </w:r>
          </w:p>
          <w:p w:rsidR="00000000" w:rsidDel="00000000" w:rsidP="00000000" w:rsidRDefault="00000000" w:rsidRPr="00000000" w14:paraId="00000014">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15">
            <w:pPr>
              <w:widowControl w:val="0"/>
              <w:spacing w:before="0" w:line="240" w:lineRule="auto"/>
              <w:contextualSpacing w:val="0"/>
              <w:rPr>
                <w:sz w:val="20"/>
                <w:szCs w:val="20"/>
              </w:rPr>
            </w:pPr>
            <w:hyperlink r:id="rId9">
              <w:r w:rsidDel="00000000" w:rsidR="00000000" w:rsidRPr="00000000">
                <w:rPr>
                  <w:color w:val="1155cc"/>
                  <w:sz w:val="20"/>
                  <w:szCs w:val="20"/>
                  <w:u w:val="single"/>
                  <w:rtl w:val="0"/>
                </w:rPr>
                <w:t xml:space="preserve">http://www.mastercardfdn.org/strategy/</w:t>
              </w:r>
            </w:hyperlink>
            <w:r w:rsidDel="00000000" w:rsidR="00000000" w:rsidRPr="00000000">
              <w:rPr>
                <w:rtl w:val="0"/>
              </w:rPr>
            </w:r>
          </w:p>
          <w:p w:rsidR="00000000" w:rsidDel="00000000" w:rsidP="00000000" w:rsidRDefault="00000000" w:rsidRPr="00000000" w14:paraId="00000016">
            <w:pPr>
              <w:widowControl w:val="0"/>
              <w:spacing w:before="0"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contextualSpacing w:val="0"/>
              <w:rPr/>
            </w:pPr>
            <w:r w:rsidDel="00000000" w:rsidR="00000000" w:rsidRPr="00000000">
              <w:rPr/>
              <w:drawing>
                <wp:inline distB="114300" distT="114300" distL="114300" distR="114300">
                  <wp:extent cx="1604963" cy="583136"/>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604963" cy="58313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Project180</w:t>
            </w:r>
          </w:p>
          <w:p w:rsidR="00000000" w:rsidDel="00000000" w:rsidP="00000000" w:rsidRDefault="00000000" w:rsidRPr="00000000" w14:paraId="00000019">
            <w:pPr>
              <w:contextualSpacing w:val="0"/>
              <w:rPr/>
            </w:pPr>
            <w:hyperlink r:id="rId11">
              <w:r w:rsidDel="00000000" w:rsidR="00000000" w:rsidRPr="00000000">
                <w:rPr>
                  <w:color w:val="1155cc"/>
                  <w:u w:val="single"/>
                  <w:rtl w:val="0"/>
                </w:rPr>
                <w:t xml:space="preserve">https://www.project180reentry.org/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40" w:lineRule="auto"/>
              <w:contextualSpacing w:val="0"/>
              <w:rPr/>
            </w:pPr>
            <w:r w:rsidDel="00000000" w:rsidR="00000000" w:rsidRPr="00000000">
              <w:rPr>
                <w:rtl w:val="0"/>
              </w:rPr>
              <w:t xml:space="preserve">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0" w:line="240" w:lineRule="auto"/>
              <w:contextualSpacing w:val="0"/>
              <w:rPr>
                <w:sz w:val="20"/>
                <w:szCs w:val="20"/>
              </w:rPr>
            </w:pPr>
            <w:r w:rsidDel="00000000" w:rsidR="00000000" w:rsidRPr="00000000">
              <w:rPr>
                <w:sz w:val="20"/>
                <w:szCs w:val="20"/>
                <w:rtl w:val="0"/>
              </w:rPr>
              <w:t xml:space="preserve">Florida-based project based inside prisons providing workforce education and financial literacy classes for inmates plus an annual reentry lecture series for the general public. Their current goal is to open a long-term, 24/7 residential program for reentering men who wish to turn their lives around.</w:t>
            </w:r>
          </w:p>
          <w:p w:rsidR="00000000" w:rsidDel="00000000" w:rsidP="00000000" w:rsidRDefault="00000000" w:rsidRPr="00000000" w14:paraId="0000001C">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1D">
            <w:pPr>
              <w:widowControl w:val="0"/>
              <w:spacing w:before="0" w:line="240" w:lineRule="auto"/>
              <w:contextualSpacing w:val="0"/>
              <w:rPr>
                <w:sz w:val="20"/>
                <w:szCs w:val="20"/>
              </w:rPr>
            </w:pPr>
            <w:r w:rsidDel="00000000" w:rsidR="00000000" w:rsidRPr="00000000">
              <w:rPr>
                <w:sz w:val="20"/>
                <w:szCs w:val="20"/>
                <w:u w:val="single"/>
                <w:rtl w:val="0"/>
              </w:rPr>
              <w:t xml:space="preserve">Residential Program</w:t>
            </w:r>
            <w:r w:rsidDel="00000000" w:rsidR="00000000" w:rsidRPr="00000000">
              <w:rPr>
                <w:sz w:val="20"/>
                <w:szCs w:val="20"/>
                <w:rtl w:val="0"/>
              </w:rPr>
              <w:t xml:space="preserve">: 2-year clean and sober program to men returning from Florida's prison system</w:t>
            </w:r>
          </w:p>
          <w:p w:rsidR="00000000" w:rsidDel="00000000" w:rsidP="00000000" w:rsidRDefault="00000000" w:rsidRPr="00000000" w14:paraId="0000001E">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1F">
            <w:pPr>
              <w:widowControl w:val="0"/>
              <w:spacing w:before="0" w:line="240" w:lineRule="auto"/>
              <w:contextualSpacing w:val="0"/>
              <w:rPr>
                <w:sz w:val="20"/>
                <w:szCs w:val="20"/>
              </w:rPr>
            </w:pPr>
            <w:r w:rsidDel="00000000" w:rsidR="00000000" w:rsidRPr="00000000">
              <w:rPr>
                <w:sz w:val="20"/>
                <w:szCs w:val="20"/>
                <w:u w:val="single"/>
                <w:rtl w:val="0"/>
              </w:rPr>
              <w:t xml:space="preserve">Financial literacy course</w:t>
            </w:r>
            <w:r w:rsidDel="00000000" w:rsidR="00000000" w:rsidRPr="00000000">
              <w:rPr>
                <w:sz w:val="20"/>
                <w:szCs w:val="20"/>
                <w:rtl w:val="0"/>
              </w:rPr>
              <w:t xml:space="preserve">: deliver financial literacy courses inside Florida Gulf Coast prisons and jails.</w:t>
            </w:r>
          </w:p>
          <w:p w:rsidR="00000000" w:rsidDel="00000000" w:rsidP="00000000" w:rsidRDefault="00000000" w:rsidRPr="00000000" w14:paraId="00000020">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21">
            <w:pPr>
              <w:widowControl w:val="0"/>
              <w:spacing w:before="0" w:line="240" w:lineRule="auto"/>
              <w:contextualSpacing w:val="0"/>
              <w:rPr>
                <w:sz w:val="20"/>
                <w:szCs w:val="20"/>
              </w:rPr>
            </w:pPr>
            <w:r w:rsidDel="00000000" w:rsidR="00000000" w:rsidRPr="00000000">
              <w:rPr>
                <w:sz w:val="20"/>
                <w:szCs w:val="20"/>
                <w:u w:val="single"/>
                <w:rtl w:val="0"/>
              </w:rPr>
              <w:t xml:space="preserve">CEO workforce program</w:t>
            </w:r>
            <w:r w:rsidDel="00000000" w:rsidR="00000000" w:rsidRPr="00000000">
              <w:rPr>
                <w:sz w:val="20"/>
                <w:szCs w:val="20"/>
                <w:rtl w:val="0"/>
              </w:rPr>
              <w:t xml:space="preserve">: takes CEOs, hiring managers and workforce agency specialists into the prisons to teach soon-to-be-released inmates how to find, apply for, interview for and retain a position in each CEO’s industry.</w:t>
            </w:r>
          </w:p>
          <w:p w:rsidR="00000000" w:rsidDel="00000000" w:rsidP="00000000" w:rsidRDefault="00000000" w:rsidRPr="00000000" w14:paraId="00000022">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23">
            <w:pPr>
              <w:widowControl w:val="0"/>
              <w:spacing w:before="0" w:line="240" w:lineRule="auto"/>
              <w:contextualSpacing w:val="0"/>
              <w:rPr>
                <w:sz w:val="20"/>
                <w:szCs w:val="20"/>
              </w:rPr>
            </w:pPr>
            <w:hyperlink r:id="rId12">
              <w:r w:rsidDel="00000000" w:rsidR="00000000" w:rsidRPr="00000000">
                <w:rPr>
                  <w:color w:val="1155cc"/>
                  <w:sz w:val="20"/>
                  <w:szCs w:val="20"/>
                  <w:u w:val="single"/>
                  <w:rtl w:val="0"/>
                </w:rPr>
                <w:t xml:space="preserve">https://www.project180reentry.org/programs/</w:t>
              </w:r>
            </w:hyperlink>
            <w:r w:rsidDel="00000000" w:rsidR="00000000" w:rsidRPr="00000000">
              <w:rPr>
                <w:rtl w:val="0"/>
              </w:rPr>
            </w:r>
          </w:p>
          <w:p w:rsidR="00000000" w:rsidDel="00000000" w:rsidP="00000000" w:rsidRDefault="00000000" w:rsidRPr="00000000" w14:paraId="00000024">
            <w:pPr>
              <w:widowControl w:val="0"/>
              <w:spacing w:before="0"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contextualSpacing w:val="0"/>
              <w:rPr/>
            </w:pPr>
            <w:r w:rsidDel="00000000" w:rsidR="00000000" w:rsidRPr="00000000">
              <w:rPr/>
              <w:drawing>
                <wp:inline distB="114300" distT="114300" distL="114300" distR="114300">
                  <wp:extent cx="394181" cy="382587"/>
                  <wp:effectExtent b="0" l="0" r="0" t="0"/>
                  <wp:docPr id="5"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394181" cy="382587"/>
                          </a:xfrm>
                          <a:prstGeom prst="rect"/>
                          <a:ln/>
                        </pic:spPr>
                      </pic:pic>
                    </a:graphicData>
                  </a:graphic>
                </wp:inline>
              </w:drawing>
            </w:r>
            <w:r w:rsidDel="00000000" w:rsidR="00000000" w:rsidRPr="00000000">
              <w:rPr>
                <w:rtl w:val="0"/>
              </w:rPr>
              <w:t xml:space="preserve">Talent Match </w:t>
            </w:r>
            <w:hyperlink r:id="rId14">
              <w:r w:rsidDel="00000000" w:rsidR="00000000" w:rsidRPr="00000000">
                <w:rPr>
                  <w:color w:val="1155cc"/>
                  <w:u w:val="single"/>
                  <w:rtl w:val="0"/>
                </w:rPr>
                <w:t xml:space="preserve">https://www.biglotteryfund.org.uk/talentmatch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40" w:lineRule="auto"/>
              <w:contextualSpacing w:val="0"/>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40" w:lineRule="auto"/>
              <w:contextualSpacing w:val="0"/>
              <w:rPr>
                <w:sz w:val="20"/>
                <w:szCs w:val="20"/>
              </w:rPr>
            </w:pPr>
            <w:r w:rsidDel="00000000" w:rsidR="00000000" w:rsidRPr="00000000">
              <w:rPr>
                <w:sz w:val="20"/>
                <w:szCs w:val="20"/>
                <w:rtl w:val="0"/>
              </w:rPr>
              <w:t xml:space="preserve">Supporting young people aged 18 – 24 who have been out of work, education or training for 12 months or more.</w:t>
            </w:r>
          </w:p>
          <w:p w:rsidR="00000000" w:rsidDel="00000000" w:rsidP="00000000" w:rsidRDefault="00000000" w:rsidRPr="00000000" w14:paraId="00000028">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29">
            <w:pPr>
              <w:widowControl w:val="0"/>
              <w:spacing w:before="0" w:line="240" w:lineRule="auto"/>
              <w:contextualSpacing w:val="0"/>
              <w:rPr>
                <w:sz w:val="20"/>
                <w:szCs w:val="20"/>
              </w:rPr>
            </w:pPr>
            <w:r w:rsidDel="00000000" w:rsidR="00000000" w:rsidRPr="00000000">
              <w:rPr>
                <w:sz w:val="20"/>
                <w:szCs w:val="20"/>
                <w:rtl w:val="0"/>
              </w:rPr>
              <w:t xml:space="preserve">An £108 million investment to tackle youth unemployment in 21 areas of England.</w:t>
            </w:r>
          </w:p>
          <w:p w:rsidR="00000000" w:rsidDel="00000000" w:rsidP="00000000" w:rsidRDefault="00000000" w:rsidRPr="00000000" w14:paraId="0000002A">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2B">
            <w:pPr>
              <w:widowControl w:val="0"/>
              <w:spacing w:before="0" w:line="240" w:lineRule="auto"/>
              <w:contextualSpacing w:val="0"/>
              <w:rPr>
                <w:sz w:val="20"/>
                <w:szCs w:val="20"/>
              </w:rPr>
            </w:pPr>
            <w:r w:rsidDel="00000000" w:rsidR="00000000" w:rsidRPr="00000000">
              <w:rPr>
                <w:sz w:val="20"/>
                <w:szCs w:val="20"/>
                <w:rtl w:val="0"/>
              </w:rPr>
              <w:t xml:space="preserve">Talent Match is targeting young people who are furthest from the jobs market, including those who are completely outside of the benefits, work and training system and facing severe barriers to gaining the skills they need to get into work.</w:t>
            </w:r>
          </w:p>
          <w:p w:rsidR="00000000" w:rsidDel="00000000" w:rsidP="00000000" w:rsidRDefault="00000000" w:rsidRPr="00000000" w14:paraId="0000002C">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2D">
            <w:pPr>
              <w:widowControl w:val="0"/>
              <w:spacing w:before="0" w:line="240" w:lineRule="auto"/>
              <w:contextualSpacing w:val="0"/>
              <w:rPr>
                <w:sz w:val="20"/>
                <w:szCs w:val="20"/>
              </w:rPr>
            </w:pPr>
            <w:r w:rsidDel="00000000" w:rsidR="00000000" w:rsidRPr="00000000">
              <w:rPr>
                <w:sz w:val="20"/>
                <w:szCs w:val="20"/>
                <w:rtl w:val="0"/>
              </w:rPr>
              <w:t xml:space="preserve">Some activities are delivered through Princes Trust</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pPr>
            <w:r w:rsidDel="00000000" w:rsidR="00000000" w:rsidRPr="00000000">
              <w:rPr/>
              <w:drawing>
                <wp:inline distB="114300" distT="114300" distL="114300" distR="114300">
                  <wp:extent cx="1000991" cy="458787"/>
                  <wp:effectExtent b="0" l="0" r="0" t="0"/>
                  <wp:docPr id="7"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1000991" cy="45878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contextualSpacing w:val="0"/>
              <w:rPr/>
            </w:pPr>
            <w:hyperlink r:id="rId16">
              <w:r w:rsidDel="00000000" w:rsidR="00000000" w:rsidRPr="00000000">
                <w:rPr>
                  <w:color w:val="1155cc"/>
                  <w:u w:val="single"/>
                  <w:rtl w:val="0"/>
                </w:rPr>
                <w:t xml:space="preserve">https://www.thewisegroup.co.uk/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contextualSpacing w:val="0"/>
              <w:rPr/>
            </w:pPr>
            <w:r w:rsidDel="00000000" w:rsidR="00000000" w:rsidRPr="00000000">
              <w:rPr>
                <w:rtl w:val="0"/>
              </w:rPr>
              <w:t xml:space="preserve">North East,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contextualSpacing w:val="0"/>
              <w:rPr>
                <w:sz w:val="20"/>
                <w:szCs w:val="20"/>
              </w:rPr>
            </w:pPr>
            <w:r w:rsidDel="00000000" w:rsidR="00000000" w:rsidRPr="00000000">
              <w:rPr>
                <w:b w:val="1"/>
                <w:sz w:val="20"/>
                <w:szCs w:val="20"/>
                <w:rtl w:val="0"/>
              </w:rPr>
              <w:t xml:space="preserve">Lottery funded.</w:t>
            </w:r>
            <w:r w:rsidDel="00000000" w:rsidR="00000000" w:rsidRPr="00000000">
              <w:rPr>
                <w:sz w:val="20"/>
                <w:szCs w:val="20"/>
                <w:rtl w:val="0"/>
              </w:rPr>
              <w:t xml:space="preserve"> Talent Match North East between 18 and 24 and have been out of education, employment or training for 12 months or more.</w:t>
            </w:r>
          </w:p>
          <w:p w:rsidR="00000000" w:rsidDel="00000000" w:rsidP="00000000" w:rsidRDefault="00000000" w:rsidRPr="00000000" w14:paraId="00000032">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33">
            <w:pPr>
              <w:widowControl w:val="0"/>
              <w:spacing w:before="0" w:line="240" w:lineRule="auto"/>
              <w:contextualSpacing w:val="0"/>
              <w:rPr>
                <w:sz w:val="20"/>
                <w:szCs w:val="20"/>
              </w:rPr>
            </w:pPr>
            <w:r w:rsidDel="00000000" w:rsidR="00000000" w:rsidRPr="00000000">
              <w:rPr>
                <w:sz w:val="20"/>
                <w:szCs w:val="20"/>
                <w:rtl w:val="0"/>
              </w:rPr>
              <w:t xml:space="preserve">Works with partners across North East.</w:t>
              <w:br w:type="textWrapping"/>
            </w:r>
          </w:p>
          <w:p w:rsidR="00000000" w:rsidDel="00000000" w:rsidP="00000000" w:rsidRDefault="00000000" w:rsidRPr="00000000" w14:paraId="00000034">
            <w:pPr>
              <w:widowControl w:val="0"/>
              <w:spacing w:before="0" w:line="240" w:lineRule="auto"/>
              <w:contextualSpacing w:val="0"/>
              <w:rPr>
                <w:sz w:val="20"/>
                <w:szCs w:val="20"/>
              </w:rPr>
            </w:pPr>
            <w:r w:rsidDel="00000000" w:rsidR="00000000" w:rsidRPr="00000000">
              <w:rPr>
                <w:sz w:val="20"/>
                <w:szCs w:val="20"/>
                <w:rtl w:val="0"/>
              </w:rPr>
              <w:t xml:space="preserve">Case study with ex-offender [</w:t>
            </w:r>
            <w:hyperlink r:id="rId17">
              <w:r w:rsidDel="00000000" w:rsidR="00000000" w:rsidRPr="00000000">
                <w:rPr>
                  <w:color w:val="1155cc"/>
                  <w:sz w:val="20"/>
                  <w:szCs w:val="20"/>
                  <w:u w:val="single"/>
                  <w:rtl w:val="0"/>
                </w:rPr>
                <w:t xml:space="preserve">Source</w:t>
              </w:r>
            </w:hyperlink>
            <w:r w:rsidDel="00000000" w:rsidR="00000000" w:rsidRPr="00000000">
              <w:rPr>
                <w:sz w:val="20"/>
                <w:szCs w:val="20"/>
                <w:rtl w:val="0"/>
              </w:rPr>
              <w:t xml:space="preserve">]</w:t>
            </w:r>
          </w:p>
          <w:p w:rsidR="00000000" w:rsidDel="00000000" w:rsidP="00000000" w:rsidRDefault="00000000" w:rsidRPr="00000000" w14:paraId="00000035">
            <w:pPr>
              <w:widowControl w:val="0"/>
              <w:spacing w:before="0" w:line="240" w:lineRule="auto"/>
              <w:contextualSpacing w:val="0"/>
              <w:rPr>
                <w:sz w:val="20"/>
                <w:szCs w:val="20"/>
              </w:rPr>
            </w:pPr>
            <w:r w:rsidDel="00000000" w:rsidR="00000000" w:rsidRPr="00000000">
              <w:rPr>
                <w:rtl w:val="0"/>
              </w:rPr>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rPr/>
            </w:pPr>
            <w:r w:rsidDel="00000000" w:rsidR="00000000" w:rsidRPr="00000000">
              <w:rPr/>
              <w:drawing>
                <wp:inline distB="114300" distT="114300" distL="114300" distR="114300">
                  <wp:extent cx="782638" cy="782638"/>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782638" cy="78263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National Citizen Service</w:t>
            </w:r>
          </w:p>
          <w:p w:rsidR="00000000" w:rsidDel="00000000" w:rsidP="00000000" w:rsidRDefault="00000000" w:rsidRPr="00000000" w14:paraId="00000038">
            <w:pPr>
              <w:contextualSpacing w:val="0"/>
              <w:rPr/>
            </w:pPr>
            <w:hyperlink r:id="rId19">
              <w:r w:rsidDel="00000000" w:rsidR="00000000" w:rsidRPr="00000000">
                <w:rPr>
                  <w:color w:val="1155cc"/>
                  <w:u w:val="single"/>
                  <w:rtl w:val="0"/>
                </w:rPr>
                <w:t xml:space="preserve">http://www.ncsyes.co.uk/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contextualSpacing w:val="0"/>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contextualSpacing w:val="0"/>
              <w:rPr>
                <w:sz w:val="20"/>
                <w:szCs w:val="20"/>
              </w:rPr>
            </w:pPr>
            <w:r w:rsidDel="00000000" w:rsidR="00000000" w:rsidRPr="00000000">
              <w:rPr>
                <w:sz w:val="20"/>
                <w:szCs w:val="20"/>
                <w:rtl w:val="0"/>
              </w:rPr>
              <w:t xml:space="preserve">NCS is a 3-4 week experience that helps build confidence and self belief. Live away from home, develop skills and meet amazing people.  </w:t>
            </w:r>
          </w:p>
          <w:p w:rsidR="00000000" w:rsidDel="00000000" w:rsidP="00000000" w:rsidRDefault="00000000" w:rsidRPr="00000000" w14:paraId="0000003B">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3C">
            <w:pPr>
              <w:widowControl w:val="0"/>
              <w:spacing w:before="0" w:line="240" w:lineRule="auto"/>
              <w:contextualSpacing w:val="0"/>
              <w:rPr>
                <w:sz w:val="20"/>
                <w:szCs w:val="20"/>
              </w:rPr>
            </w:pPr>
            <w:r w:rsidDel="00000000" w:rsidR="00000000" w:rsidRPr="00000000">
              <w:rPr>
                <w:sz w:val="20"/>
                <w:szCs w:val="20"/>
                <w:rtl w:val="0"/>
              </w:rPr>
              <w:t xml:space="preserve">UK-wide initiative; can help build confidence and aid 15-17 year olds gain experience, skills and confidence.</w:t>
            </w:r>
          </w:p>
          <w:p w:rsidR="00000000" w:rsidDel="00000000" w:rsidP="00000000" w:rsidRDefault="00000000" w:rsidRPr="00000000" w14:paraId="0000003D">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3E">
            <w:pPr>
              <w:widowControl w:val="0"/>
              <w:spacing w:before="0" w:line="240" w:lineRule="auto"/>
              <w:contextualSpacing w:val="0"/>
              <w:rPr>
                <w:sz w:val="20"/>
                <w:szCs w:val="20"/>
              </w:rPr>
            </w:pPr>
            <w:r w:rsidDel="00000000" w:rsidR="00000000" w:rsidRPr="00000000">
              <w:rPr>
                <w:sz w:val="20"/>
                <w:szCs w:val="20"/>
                <w:rtl w:val="0"/>
              </w:rPr>
              <w:t xml:space="preserve">Not necessarily about jobs.</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pPr>
            <w:r w:rsidDel="00000000" w:rsidR="00000000" w:rsidRPr="00000000">
              <w:rPr/>
              <w:drawing>
                <wp:inline distB="114300" distT="114300" distL="114300" distR="114300">
                  <wp:extent cx="1190625" cy="685800"/>
                  <wp:effectExtent b="0" l="0" r="0" t="0"/>
                  <wp:docPr id="2"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119062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Palmersville Training</w:t>
            </w:r>
          </w:p>
          <w:p w:rsidR="00000000" w:rsidDel="00000000" w:rsidP="00000000" w:rsidRDefault="00000000" w:rsidRPr="00000000" w14:paraId="00000041">
            <w:pPr>
              <w:contextualSpacing w:val="0"/>
              <w:rPr/>
            </w:pPr>
            <w:hyperlink r:id="rId21">
              <w:r w:rsidDel="00000000" w:rsidR="00000000" w:rsidRPr="00000000">
                <w:rPr>
                  <w:color w:val="1155cc"/>
                  <w:u w:val="single"/>
                  <w:rtl w:val="0"/>
                </w:rPr>
                <w:t xml:space="preserve">http://www.barnardos.org.uk/palmersville-training.htm</w:t>
              </w:r>
            </w:hyperlink>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contextualSpacing w:val="0"/>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contextualSpacing w:val="0"/>
              <w:rPr>
                <w:sz w:val="20"/>
                <w:szCs w:val="20"/>
              </w:rPr>
            </w:pPr>
            <w:r w:rsidDel="00000000" w:rsidR="00000000" w:rsidRPr="00000000">
              <w:rPr>
                <w:sz w:val="20"/>
                <w:szCs w:val="20"/>
                <w:rtl w:val="0"/>
              </w:rPr>
              <w:t xml:space="preserve">Palmersville Training offer Study Programme and Apprenticeships for young people aged 16-24 with no entry requirements.  It is aimed at trade-related skills.</w:t>
            </w:r>
          </w:p>
          <w:p w:rsidR="00000000" w:rsidDel="00000000" w:rsidP="00000000" w:rsidRDefault="00000000" w:rsidRPr="00000000" w14:paraId="00000046">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47">
            <w:pPr>
              <w:widowControl w:val="0"/>
              <w:spacing w:before="0" w:line="240" w:lineRule="auto"/>
              <w:contextualSpacing w:val="0"/>
              <w:rPr>
                <w:sz w:val="20"/>
                <w:szCs w:val="20"/>
              </w:rPr>
            </w:pPr>
            <w:r w:rsidDel="00000000" w:rsidR="00000000" w:rsidRPr="00000000">
              <w:rPr>
                <w:sz w:val="20"/>
                <w:szCs w:val="20"/>
                <w:rtl w:val="0"/>
              </w:rPr>
              <w:t xml:space="preserve">Palmersville in Benton provides advice and advocacy on the skills needed to support, obtain and maintain a job.  Focusing on confidence, resilience and self-esteem through employment, work experience and educational opportunities through trade-skills;</w:t>
            </w:r>
          </w:p>
          <w:p w:rsidR="00000000" w:rsidDel="00000000" w:rsidP="00000000" w:rsidRDefault="00000000" w:rsidRPr="00000000" w14:paraId="00000048">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49">
            <w:pPr>
              <w:widowControl w:val="0"/>
              <w:spacing w:before="0" w:line="240" w:lineRule="auto"/>
              <w:contextualSpacing w:val="0"/>
              <w:rPr>
                <w:sz w:val="20"/>
                <w:szCs w:val="20"/>
              </w:rPr>
            </w:pPr>
            <w:r w:rsidDel="00000000" w:rsidR="00000000" w:rsidRPr="00000000">
              <w:rPr>
                <w:sz w:val="20"/>
                <w:szCs w:val="20"/>
                <w:rtl w:val="0"/>
              </w:rPr>
              <w:t xml:space="preserve">* Hairdressing- Level 1, Level 2, and Level 3</w:t>
            </w:r>
          </w:p>
          <w:p w:rsidR="00000000" w:rsidDel="00000000" w:rsidP="00000000" w:rsidRDefault="00000000" w:rsidRPr="00000000" w14:paraId="0000004A">
            <w:pPr>
              <w:widowControl w:val="0"/>
              <w:spacing w:before="0" w:line="240" w:lineRule="auto"/>
              <w:contextualSpacing w:val="0"/>
              <w:rPr>
                <w:sz w:val="20"/>
                <w:szCs w:val="20"/>
              </w:rPr>
            </w:pPr>
            <w:r w:rsidDel="00000000" w:rsidR="00000000" w:rsidRPr="00000000">
              <w:rPr>
                <w:sz w:val="20"/>
                <w:szCs w:val="20"/>
                <w:rtl w:val="0"/>
              </w:rPr>
              <w:t xml:space="preserve">* Painting and decorating- level 1 and level 2</w:t>
            </w:r>
          </w:p>
          <w:p w:rsidR="00000000" w:rsidDel="00000000" w:rsidP="00000000" w:rsidRDefault="00000000" w:rsidRPr="00000000" w14:paraId="0000004B">
            <w:pPr>
              <w:widowControl w:val="0"/>
              <w:spacing w:before="0" w:line="240" w:lineRule="auto"/>
              <w:contextualSpacing w:val="0"/>
              <w:rPr>
                <w:sz w:val="20"/>
                <w:szCs w:val="20"/>
              </w:rPr>
            </w:pPr>
            <w:r w:rsidDel="00000000" w:rsidR="00000000" w:rsidRPr="00000000">
              <w:rPr>
                <w:sz w:val="20"/>
                <w:szCs w:val="20"/>
                <w:rtl w:val="0"/>
              </w:rPr>
              <w:t xml:space="preserve">* Customer Service- Level 2 and Level 3</w:t>
            </w:r>
          </w:p>
          <w:p w:rsidR="00000000" w:rsidDel="00000000" w:rsidP="00000000" w:rsidRDefault="00000000" w:rsidRPr="00000000" w14:paraId="0000004C">
            <w:pPr>
              <w:widowControl w:val="0"/>
              <w:spacing w:before="0" w:line="240" w:lineRule="auto"/>
              <w:contextualSpacing w:val="0"/>
              <w:rPr>
                <w:sz w:val="20"/>
                <w:szCs w:val="20"/>
              </w:rPr>
            </w:pPr>
            <w:r w:rsidDel="00000000" w:rsidR="00000000" w:rsidRPr="00000000">
              <w:rPr>
                <w:sz w:val="20"/>
                <w:szCs w:val="20"/>
                <w:rtl w:val="0"/>
              </w:rPr>
              <w:t xml:space="preserve">* Business Admin- Level 1, Level 2, Level 3 and Level 4</w:t>
            </w:r>
          </w:p>
          <w:p w:rsidR="00000000" w:rsidDel="00000000" w:rsidP="00000000" w:rsidRDefault="00000000" w:rsidRPr="00000000" w14:paraId="0000004D">
            <w:pPr>
              <w:widowControl w:val="0"/>
              <w:spacing w:before="0" w:line="240" w:lineRule="auto"/>
              <w:contextualSpacing w:val="0"/>
              <w:rPr>
                <w:sz w:val="20"/>
                <w:szCs w:val="20"/>
              </w:rPr>
            </w:pPr>
            <w:r w:rsidDel="00000000" w:rsidR="00000000" w:rsidRPr="00000000">
              <w:rPr>
                <w:sz w:val="20"/>
                <w:szCs w:val="20"/>
                <w:rtl w:val="0"/>
              </w:rPr>
              <w:t xml:space="preserve">* Beauty Therapy- Level 1, Level 2, and Level 3</w:t>
            </w:r>
          </w:p>
          <w:p w:rsidR="00000000" w:rsidDel="00000000" w:rsidP="00000000" w:rsidRDefault="00000000" w:rsidRPr="00000000" w14:paraId="0000004E">
            <w:pPr>
              <w:widowControl w:val="0"/>
              <w:spacing w:before="0" w:line="240" w:lineRule="auto"/>
              <w:contextualSpacing w:val="0"/>
              <w:rPr>
                <w:sz w:val="20"/>
                <w:szCs w:val="20"/>
              </w:rPr>
            </w:pPr>
            <w:r w:rsidDel="00000000" w:rsidR="00000000" w:rsidRPr="00000000">
              <w:rPr>
                <w:sz w:val="20"/>
                <w:szCs w:val="20"/>
                <w:rtl w:val="0"/>
              </w:rPr>
              <w:t xml:space="preserve">* Retail- Level 1 and Level 2</w:t>
            </w:r>
          </w:p>
          <w:p w:rsidR="00000000" w:rsidDel="00000000" w:rsidP="00000000" w:rsidRDefault="00000000" w:rsidRPr="00000000" w14:paraId="0000004F">
            <w:pPr>
              <w:widowControl w:val="0"/>
              <w:spacing w:before="0" w:line="240" w:lineRule="auto"/>
              <w:contextualSpacing w:val="0"/>
              <w:rPr>
                <w:sz w:val="20"/>
                <w:szCs w:val="20"/>
              </w:rPr>
            </w:pPr>
            <w:r w:rsidDel="00000000" w:rsidR="00000000" w:rsidRPr="00000000">
              <w:rPr>
                <w:sz w:val="20"/>
                <w:szCs w:val="20"/>
                <w:rtl w:val="0"/>
              </w:rPr>
              <w:t xml:space="preserve">* Warehousing- Level 2</w:t>
            </w:r>
          </w:p>
          <w:p w:rsidR="00000000" w:rsidDel="00000000" w:rsidP="00000000" w:rsidRDefault="00000000" w:rsidRPr="00000000" w14:paraId="00000050">
            <w:pPr>
              <w:widowControl w:val="0"/>
              <w:spacing w:before="0" w:line="240" w:lineRule="auto"/>
              <w:contextualSpacing w:val="0"/>
              <w:rPr>
                <w:sz w:val="20"/>
                <w:szCs w:val="20"/>
              </w:rPr>
            </w:pPr>
            <w:r w:rsidDel="00000000" w:rsidR="00000000" w:rsidRPr="00000000">
              <w:rPr>
                <w:sz w:val="20"/>
                <w:szCs w:val="20"/>
                <w:rtl w:val="0"/>
              </w:rPr>
              <w:t xml:space="preserve">* Team Leading/Management- Level 3</w:t>
            </w:r>
          </w:p>
          <w:p w:rsidR="00000000" w:rsidDel="00000000" w:rsidP="00000000" w:rsidRDefault="00000000" w:rsidRPr="00000000" w14:paraId="00000051">
            <w:pPr>
              <w:widowControl w:val="0"/>
              <w:spacing w:before="0" w:line="240" w:lineRule="auto"/>
              <w:contextualSpacing w:val="0"/>
              <w:rPr>
                <w:sz w:val="20"/>
                <w:szCs w:val="20"/>
              </w:rPr>
            </w:pPr>
            <w:r w:rsidDel="00000000" w:rsidR="00000000" w:rsidRPr="00000000">
              <w:rPr>
                <w:sz w:val="20"/>
                <w:szCs w:val="20"/>
                <w:rtl w:val="0"/>
              </w:rPr>
              <w:t xml:space="preserve">* Functional Skills Maths, English and ICT</w:t>
            </w:r>
          </w:p>
          <w:p w:rsidR="00000000" w:rsidDel="00000000" w:rsidP="00000000" w:rsidRDefault="00000000" w:rsidRPr="00000000" w14:paraId="00000052">
            <w:pPr>
              <w:widowControl w:val="0"/>
              <w:spacing w:before="0" w:line="240" w:lineRule="auto"/>
              <w:contextualSpacing w:val="0"/>
              <w:rPr>
                <w:sz w:val="20"/>
                <w:szCs w:val="20"/>
              </w:rPr>
            </w:pPr>
            <w:r w:rsidDel="00000000" w:rsidR="00000000" w:rsidRPr="00000000">
              <w:rPr>
                <w:sz w:val="20"/>
                <w:szCs w:val="20"/>
                <w:rtl w:val="0"/>
              </w:rPr>
              <w:t xml:space="preserve">* Employability Skills</w:t>
            </w:r>
          </w:p>
          <w:p w:rsidR="00000000" w:rsidDel="00000000" w:rsidP="00000000" w:rsidRDefault="00000000" w:rsidRPr="00000000" w14:paraId="00000053">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54">
            <w:pPr>
              <w:widowControl w:val="0"/>
              <w:spacing w:before="0" w:line="240" w:lineRule="auto"/>
              <w:contextualSpacing w:val="0"/>
              <w:rPr>
                <w:sz w:val="20"/>
                <w:szCs w:val="20"/>
              </w:rPr>
            </w:pPr>
            <w:r w:rsidDel="00000000" w:rsidR="00000000" w:rsidRPr="00000000">
              <w:rPr>
                <w:sz w:val="20"/>
                <w:szCs w:val="20"/>
                <w:rtl w:val="0"/>
              </w:rPr>
              <w:t xml:space="preserve">Prospectus</w:t>
            </w:r>
          </w:p>
          <w:p w:rsidR="00000000" w:rsidDel="00000000" w:rsidP="00000000" w:rsidRDefault="00000000" w:rsidRPr="00000000" w14:paraId="00000055">
            <w:pPr>
              <w:widowControl w:val="0"/>
              <w:spacing w:before="0" w:line="240" w:lineRule="auto"/>
              <w:contextualSpacing w:val="0"/>
              <w:rPr>
                <w:sz w:val="20"/>
                <w:szCs w:val="20"/>
              </w:rPr>
            </w:pPr>
            <w:hyperlink r:id="rId22">
              <w:r w:rsidDel="00000000" w:rsidR="00000000" w:rsidRPr="00000000">
                <w:rPr>
                  <w:color w:val="1155cc"/>
                  <w:sz w:val="20"/>
                  <w:szCs w:val="20"/>
                  <w:u w:val="single"/>
                  <w:rtl w:val="0"/>
                </w:rPr>
                <w:t xml:space="preserve">http://www.barnardos.org.uk/pv-Barnardos-Prospectus.pdf</w:t>
              </w:r>
            </w:hyperlink>
            <w:r w:rsidDel="00000000" w:rsidR="00000000" w:rsidRPr="00000000">
              <w:rPr>
                <w:rtl w:val="0"/>
              </w:rPr>
            </w:r>
          </w:p>
          <w:p w:rsidR="00000000" w:rsidDel="00000000" w:rsidP="00000000" w:rsidRDefault="00000000" w:rsidRPr="00000000" w14:paraId="00000056">
            <w:pPr>
              <w:widowControl w:val="0"/>
              <w:spacing w:before="0" w:line="240" w:lineRule="auto"/>
              <w:contextualSpacing w:val="0"/>
              <w:rPr>
                <w:sz w:val="20"/>
                <w:szCs w:val="20"/>
              </w:rPr>
            </w:pPr>
            <w:r w:rsidDel="00000000" w:rsidR="00000000" w:rsidRPr="00000000">
              <w:rPr>
                <w:rtl w:val="0"/>
              </w:rPr>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contextualSpacing w:val="0"/>
              <w:rPr/>
            </w:pPr>
            <w:r w:rsidDel="00000000" w:rsidR="00000000" w:rsidRPr="00000000">
              <w:rPr/>
              <w:drawing>
                <wp:inline distB="114300" distT="114300" distL="114300" distR="114300">
                  <wp:extent cx="1662113" cy="471779"/>
                  <wp:effectExtent b="0" l="0" r="0" t="0"/>
                  <wp:docPr id="3"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1662113" cy="471779"/>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contextualSpacing w:val="0"/>
              <w:rPr/>
            </w:pPr>
            <w:hyperlink r:id="rId24">
              <w:r w:rsidDel="00000000" w:rsidR="00000000" w:rsidRPr="00000000">
                <w:rPr>
                  <w:color w:val="1155cc"/>
                  <w:u w:val="single"/>
                  <w:rtl w:val="0"/>
                </w:rPr>
                <w:t xml:space="preserve">https://www.s4ye.org/impact-portfolio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40" w:lineRule="auto"/>
              <w:contextualSpacing w:val="0"/>
              <w:rPr/>
            </w:pPr>
            <w:r w:rsidDel="00000000" w:rsidR="00000000" w:rsidRPr="00000000">
              <w:rPr>
                <w:rtl w:val="0"/>
              </w:rPr>
              <w:t xml:space="preserve">Global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contextualSpacing w:val="0"/>
              <w:rPr>
                <w:sz w:val="20"/>
                <w:szCs w:val="20"/>
              </w:rPr>
            </w:pPr>
            <w:r w:rsidDel="00000000" w:rsidR="00000000" w:rsidRPr="00000000">
              <w:rPr>
                <w:sz w:val="20"/>
                <w:szCs w:val="20"/>
                <w:rtl w:val="0"/>
              </w:rPr>
              <w:t xml:space="preserve">With sites ranging from Colombia to Cambodia and Turkey to Tanzania, the S4YE Impact Portfolio (IP) is a group of 19 diverse and high-potential youth employment projects that represent fifteen developing countries from six continents.</w:t>
            </w:r>
          </w:p>
          <w:p w:rsidR="00000000" w:rsidDel="00000000" w:rsidP="00000000" w:rsidRDefault="00000000" w:rsidRPr="00000000" w14:paraId="0000005B">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5C">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5D">
            <w:pPr>
              <w:widowControl w:val="0"/>
              <w:spacing w:before="0" w:line="240" w:lineRule="auto"/>
              <w:contextualSpacing w:val="0"/>
              <w:rPr>
                <w:sz w:val="20"/>
                <w:szCs w:val="20"/>
              </w:rPr>
            </w:pPr>
            <w:r w:rsidDel="00000000" w:rsidR="00000000" w:rsidRPr="00000000">
              <w:rPr>
                <w:sz w:val="20"/>
                <w:szCs w:val="20"/>
                <w:rtl w:val="0"/>
              </w:rPr>
              <w:t xml:space="preserve">From report [</w:t>
            </w:r>
            <w:hyperlink r:id="rId25">
              <w:r w:rsidDel="00000000" w:rsidR="00000000" w:rsidRPr="00000000">
                <w:rPr>
                  <w:color w:val="1155cc"/>
                  <w:sz w:val="20"/>
                  <w:szCs w:val="20"/>
                  <w:u w:val="single"/>
                  <w:rtl w:val="0"/>
                </w:rPr>
                <w:t xml:space="preserve">Source</w:t>
              </w:r>
            </w:hyperlink>
            <w:r w:rsidDel="00000000" w:rsidR="00000000" w:rsidRPr="00000000">
              <w:rPr>
                <w:sz w:val="20"/>
                <w:szCs w:val="20"/>
                <w:rtl w:val="0"/>
              </w:rPr>
              <w:t xml:space="preserve">]:</w:t>
            </w:r>
          </w:p>
          <w:p w:rsidR="00000000" w:rsidDel="00000000" w:rsidP="00000000" w:rsidRDefault="00000000" w:rsidRPr="00000000" w14:paraId="0000005E">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5F">
            <w:pPr>
              <w:widowControl w:val="0"/>
              <w:spacing w:before="0" w:line="240" w:lineRule="auto"/>
              <w:contextualSpacing w:val="0"/>
              <w:rPr>
                <w:sz w:val="20"/>
                <w:szCs w:val="20"/>
              </w:rPr>
            </w:pPr>
            <w:r w:rsidDel="00000000" w:rsidR="00000000" w:rsidRPr="00000000">
              <w:rPr>
                <w:sz w:val="20"/>
                <w:szCs w:val="20"/>
                <w:rtl w:val="0"/>
              </w:rPr>
              <w:t xml:space="preserve">Microsoft and Silatech’s Ta3mal platform in Tunisia includes the use of online psychometric self-assessment tool to guide youth in career choices based on their personality, interests, and individual attributes. </w:t>
            </w:r>
          </w:p>
          <w:p w:rsidR="00000000" w:rsidDel="00000000" w:rsidP="00000000" w:rsidRDefault="00000000" w:rsidRPr="00000000" w14:paraId="00000060">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61">
            <w:pPr>
              <w:widowControl w:val="0"/>
              <w:spacing w:before="0" w:line="240" w:lineRule="auto"/>
              <w:contextualSpacing w:val="0"/>
              <w:rPr>
                <w:sz w:val="20"/>
                <w:szCs w:val="20"/>
              </w:rPr>
            </w:pPr>
            <w:r w:rsidDel="00000000" w:rsidR="00000000" w:rsidRPr="00000000">
              <w:rPr>
                <w:sz w:val="20"/>
                <w:szCs w:val="20"/>
                <w:rtl w:val="0"/>
              </w:rPr>
              <w:t xml:space="preserve">In Tunisia, the FORSATI project allows youth to meet</w:t>
            </w:r>
          </w:p>
          <w:p w:rsidR="00000000" w:rsidDel="00000000" w:rsidP="00000000" w:rsidRDefault="00000000" w:rsidRPr="00000000" w14:paraId="00000062">
            <w:pPr>
              <w:widowControl w:val="0"/>
              <w:spacing w:before="0" w:line="240" w:lineRule="auto"/>
              <w:contextualSpacing w:val="0"/>
              <w:rPr>
                <w:sz w:val="20"/>
                <w:szCs w:val="20"/>
              </w:rPr>
            </w:pPr>
            <w:r w:rsidDel="00000000" w:rsidR="00000000" w:rsidRPr="00000000">
              <w:rPr>
                <w:sz w:val="20"/>
                <w:szCs w:val="20"/>
                <w:rtl w:val="0"/>
              </w:rPr>
              <w:t xml:space="preserve">with career counselors, who help them develop and</w:t>
            </w:r>
          </w:p>
          <w:p w:rsidR="00000000" w:rsidDel="00000000" w:rsidP="00000000" w:rsidRDefault="00000000" w:rsidRPr="00000000" w14:paraId="00000063">
            <w:pPr>
              <w:widowControl w:val="0"/>
              <w:spacing w:before="0" w:line="240" w:lineRule="auto"/>
              <w:contextualSpacing w:val="0"/>
              <w:rPr>
                <w:sz w:val="20"/>
                <w:szCs w:val="20"/>
              </w:rPr>
            </w:pPr>
            <w:r w:rsidDel="00000000" w:rsidR="00000000" w:rsidRPr="00000000">
              <w:rPr>
                <w:sz w:val="20"/>
                <w:szCs w:val="20"/>
                <w:rtl w:val="0"/>
              </w:rPr>
              <w:t xml:space="preserve">sign a personal action plan for their career</w:t>
            </w:r>
          </w:p>
          <w:p w:rsidR="00000000" w:rsidDel="00000000" w:rsidP="00000000" w:rsidRDefault="00000000" w:rsidRPr="00000000" w14:paraId="00000064">
            <w:pPr>
              <w:widowControl w:val="0"/>
              <w:spacing w:before="0" w:line="240" w:lineRule="auto"/>
              <w:contextualSpacing w:val="0"/>
              <w:rPr>
                <w:sz w:val="20"/>
                <w:szCs w:val="20"/>
              </w:rPr>
            </w:pPr>
            <w:r w:rsidDel="00000000" w:rsidR="00000000" w:rsidRPr="00000000">
              <w:rPr>
                <w:sz w:val="20"/>
                <w:szCs w:val="20"/>
                <w:rtl w:val="0"/>
              </w:rPr>
              <w:t xml:space="preserve">exploration and job search process, to be executed</w:t>
            </w:r>
          </w:p>
          <w:p w:rsidR="00000000" w:rsidDel="00000000" w:rsidP="00000000" w:rsidRDefault="00000000" w:rsidRPr="00000000" w14:paraId="00000065">
            <w:pPr>
              <w:widowControl w:val="0"/>
              <w:spacing w:before="0" w:line="240" w:lineRule="auto"/>
              <w:contextualSpacing w:val="0"/>
              <w:rPr>
                <w:sz w:val="20"/>
                <w:szCs w:val="20"/>
              </w:rPr>
            </w:pPr>
            <w:r w:rsidDel="00000000" w:rsidR="00000000" w:rsidRPr="00000000">
              <w:rPr>
                <w:sz w:val="20"/>
                <w:szCs w:val="20"/>
                <w:rtl w:val="0"/>
              </w:rPr>
              <w:t xml:space="preserve">over the following 6 to 12 months.</w:t>
            </w:r>
          </w:p>
          <w:p w:rsidR="00000000" w:rsidDel="00000000" w:rsidP="00000000" w:rsidRDefault="00000000" w:rsidRPr="00000000" w14:paraId="00000066">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67">
            <w:pPr>
              <w:widowControl w:val="0"/>
              <w:spacing w:before="0" w:line="240" w:lineRule="auto"/>
              <w:contextualSpacing w:val="0"/>
              <w:rPr>
                <w:sz w:val="20"/>
                <w:szCs w:val="20"/>
              </w:rPr>
            </w:pPr>
            <w:r w:rsidDel="00000000" w:rsidR="00000000" w:rsidRPr="00000000">
              <w:rPr>
                <w:sz w:val="20"/>
                <w:szCs w:val="20"/>
                <w:rtl w:val="0"/>
              </w:rPr>
              <w:t xml:space="preserve">The World Bank's Kenya Youth Employment and Opportunities (KYEOP) project is experimenting with the design of a youth-friendly entrepreneurship aptitude test. </w:t>
            </w:r>
          </w:p>
          <w:p w:rsidR="00000000" w:rsidDel="00000000" w:rsidP="00000000" w:rsidRDefault="00000000" w:rsidRPr="00000000" w14:paraId="00000068">
            <w:pPr>
              <w:widowControl w:val="0"/>
              <w:spacing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69">
            <w:pPr>
              <w:widowControl w:val="0"/>
              <w:spacing w:before="0" w:line="240" w:lineRule="auto"/>
              <w:contextualSpacing w:val="0"/>
              <w:rPr>
                <w:sz w:val="20"/>
                <w:szCs w:val="20"/>
              </w:rPr>
            </w:pPr>
            <w:r w:rsidDel="00000000" w:rsidR="00000000" w:rsidRPr="00000000">
              <w:rPr>
                <w:sz w:val="20"/>
                <w:szCs w:val="20"/>
                <w:rtl w:val="0"/>
              </w:rPr>
              <w:t xml:space="preserve">Identifies sectors: Digital/STEM, Healthcare, Energy/green jobs, Construction and logistics jobs, Hospitality and tourism jobs, Agri-business and modern agriculture jobs.</w:t>
            </w:r>
          </w:p>
        </w:tc>
      </w:tr>
    </w:tbl>
    <w:p w:rsidR="00000000" w:rsidDel="00000000" w:rsidP="00000000" w:rsidRDefault="00000000" w:rsidRPr="00000000" w14:paraId="0000006A">
      <w:pPr>
        <w:contextualSpacing w:val="0"/>
        <w:rPr/>
      </w:pPr>
      <w:r w:rsidDel="00000000" w:rsidR="00000000" w:rsidRPr="00000000">
        <w:rPr>
          <w:rtl w:val="0"/>
        </w:rPr>
      </w:r>
    </w:p>
    <w:sectPr>
      <w:footerReference r:id="rId26" w:type="default"/>
      <w:pgSz w:h="16838" w:w="11906"/>
      <w:pgMar w:bottom="1440" w:top="1440" w:left="72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53744"/>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00" w:lineRule="auto"/>
    </w:pPr>
    <w:rPr>
      <w:b w:val="1"/>
      <w:sz w:val="32"/>
      <w:szCs w:val="32"/>
    </w:rPr>
  </w:style>
  <w:style w:type="paragraph" w:styleId="Heading2">
    <w:name w:val="heading 2"/>
    <w:basedOn w:val="Normal"/>
    <w:next w:val="Normal"/>
    <w:pPr>
      <w:keepNext w:val="1"/>
      <w:keepLines w:val="1"/>
      <w:widowControl w:val="0"/>
      <w:spacing w:after="200" w:before="200" w:line="240" w:lineRule="auto"/>
    </w:pPr>
    <w:rPr>
      <w:b w:val="1"/>
      <w:sz w:val="28"/>
      <w:szCs w:val="28"/>
    </w:rPr>
  </w:style>
  <w:style w:type="paragraph" w:styleId="Heading3">
    <w:name w:val="heading 3"/>
    <w:basedOn w:val="Normal"/>
    <w:next w:val="Normal"/>
    <w:pPr>
      <w:keepNext w:val="1"/>
      <w:keepLines w:val="1"/>
      <w:spacing w:before="200" w:line="240" w:lineRule="auto"/>
    </w:pPr>
    <w:rPr>
      <w:b w:val="1"/>
      <w:color w:val="980000"/>
      <w:sz w:val="28"/>
      <w:szCs w:val="28"/>
    </w:rPr>
  </w:style>
  <w:style w:type="paragraph" w:styleId="Heading4">
    <w:name w:val="heading 4"/>
    <w:basedOn w:val="Normal"/>
    <w:next w:val="Normal"/>
    <w:pPr>
      <w:keepNext w:val="1"/>
      <w:keepLines w:val="1"/>
      <w:spacing w:before="160" w:lineRule="auto"/>
    </w:pPr>
    <w:rPr>
      <w:color w:val="666666"/>
      <w:u w:val="single"/>
    </w:rPr>
  </w:style>
  <w:style w:type="paragraph" w:styleId="Heading5">
    <w:name w:val="heading 5"/>
    <w:basedOn w:val="Normal"/>
    <w:next w:val="Normal"/>
    <w:pPr>
      <w:keepNext w:val="1"/>
      <w:keepLines w:val="1"/>
      <w:spacing w:before="160" w:line="240" w:lineRule="auto"/>
    </w:pPr>
    <w:rPr>
      <w:b w:val="1"/>
      <w:i w:val="1"/>
      <w:color w:val="666666"/>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Rule="auto"/>
    </w:pPr>
    <w:rPr>
      <w:b w:val="1"/>
      <w:color w:val="000000"/>
      <w:sz w:val="48"/>
      <w:szCs w:val="48"/>
    </w:rPr>
  </w:style>
  <w:style w:type="paragraph" w:styleId="Subtitle">
    <w:name w:val="Subtitle"/>
    <w:basedOn w:val="Normal"/>
    <w:next w:val="Normal"/>
    <w:pPr>
      <w:keepNext w:val="1"/>
      <w:keepLines w:val="1"/>
      <w:spacing w:after="200" w:before="0" w:lineRule="auto"/>
    </w:pPr>
    <w:rPr>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hyperlink" Target="http://www.barnardos.org.uk/pv-Barnardos-Prospectus.pdf" TargetMode="External"/><Relationship Id="rId21" Type="http://schemas.openxmlformats.org/officeDocument/2006/relationships/hyperlink" Target="http://www.barnardos.org.uk/palmersville-training.htm" TargetMode="External"/><Relationship Id="rId24" Type="http://schemas.openxmlformats.org/officeDocument/2006/relationships/hyperlink" Target="https://www.s4ye.org/impact-portfolio" TargetMode="External"/><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stercardfdn.org/strategy/" TargetMode="External"/><Relationship Id="rId26" Type="http://schemas.openxmlformats.org/officeDocument/2006/relationships/footer" Target="footer1.xml"/><Relationship Id="rId25" Type="http://schemas.openxmlformats.org/officeDocument/2006/relationships/hyperlink" Target="https://www.s4ye.org/sites/default/files/2017-11/Impact%20Portfolio%20Report.pdf" TargetMode="External"/><Relationship Id="rId5" Type="http://schemas.openxmlformats.org/officeDocument/2006/relationships/styles" Target="styles.xml"/><Relationship Id="rId6" Type="http://schemas.openxmlformats.org/officeDocument/2006/relationships/hyperlink" Target="http://blogs.worldbank.org/jobs/accelerating-and-learning-innovations-youth-employment-projects" TargetMode="External"/><Relationship Id="rId7" Type="http://schemas.openxmlformats.org/officeDocument/2006/relationships/image" Target="media/image13.png"/><Relationship Id="rId8" Type="http://schemas.openxmlformats.org/officeDocument/2006/relationships/hyperlink" Target="http://www.mastercardfdn.org/" TargetMode="External"/><Relationship Id="rId11" Type="http://schemas.openxmlformats.org/officeDocument/2006/relationships/hyperlink" Target="https://www.project180reentry.org/" TargetMode="External"/><Relationship Id="rId10" Type="http://schemas.openxmlformats.org/officeDocument/2006/relationships/image" Target="media/image10.png"/><Relationship Id="rId13" Type="http://schemas.openxmlformats.org/officeDocument/2006/relationships/image" Target="media/image12.png"/><Relationship Id="rId12" Type="http://schemas.openxmlformats.org/officeDocument/2006/relationships/hyperlink" Target="https://www.project180reentry.org/programs/" TargetMode="External"/><Relationship Id="rId15" Type="http://schemas.openxmlformats.org/officeDocument/2006/relationships/image" Target="media/image14.png"/><Relationship Id="rId14" Type="http://schemas.openxmlformats.org/officeDocument/2006/relationships/hyperlink" Target="https://www.biglotteryfund.org.uk/talentmatch" TargetMode="External"/><Relationship Id="rId17" Type="http://schemas.openxmlformats.org/officeDocument/2006/relationships/hyperlink" Target="https://www.thewisegroup.co.uk/2018/02/12/wise-steps-celebrates-1600-particpant-milestone/" TargetMode="External"/><Relationship Id="rId16" Type="http://schemas.openxmlformats.org/officeDocument/2006/relationships/hyperlink" Target="https://www.thewisegroup.co.uk/" TargetMode="External"/><Relationship Id="rId19" Type="http://schemas.openxmlformats.org/officeDocument/2006/relationships/hyperlink" Target="http://www.ncsyes.co.uk/" TargetMode="External"/><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